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063613" w:rsidRDefault="00A71632" w:rsidP="00063613">
      <w:pPr>
        <w:rPr>
          <w:lang w:val="fr-FR"/>
        </w:rPr>
      </w:pPr>
      <w:bookmarkStart w:id="0" w:name="_GoBack"/>
      <w:bookmarkEnd w:id="0"/>
    </w:p>
    <w:p w:rsidR="00A71632" w:rsidRPr="00063613" w:rsidRDefault="00201FAE" w:rsidP="00063613">
      <w:pPr>
        <w:pStyle w:val="DecHTitle"/>
        <w:rPr>
          <w:lang w:val="fr-FR"/>
        </w:rPr>
      </w:pPr>
      <w:r w:rsidRPr="00063613">
        <w:rPr>
          <w:szCs w:val="24"/>
          <w:lang w:val="fr-FR"/>
        </w:rPr>
        <w:t>PREMIÈRE SECTION</w:t>
      </w:r>
    </w:p>
    <w:p w:rsidR="00A71632" w:rsidRPr="00063613" w:rsidRDefault="00A71632" w:rsidP="00063613">
      <w:pPr>
        <w:pStyle w:val="DecHTitle"/>
        <w:rPr>
          <w:caps/>
          <w:sz w:val="32"/>
          <w:lang w:val="fr-FR"/>
        </w:rPr>
      </w:pPr>
      <w:r w:rsidRPr="00063613">
        <w:rPr>
          <w:lang w:val="fr-FR"/>
        </w:rPr>
        <w:t>DÉCISION</w:t>
      </w:r>
    </w:p>
    <w:p w:rsidR="00791C0C" w:rsidRPr="00063613" w:rsidRDefault="00201FAE" w:rsidP="00063613">
      <w:pPr>
        <w:pStyle w:val="ECHRTitleCentre2"/>
        <w:rPr>
          <w:lang w:val="fr-FR"/>
        </w:rPr>
      </w:pPr>
      <w:r w:rsidRPr="00063613">
        <w:rPr>
          <w:lang w:val="fr-FR"/>
        </w:rPr>
        <w:t>Requête n</w:t>
      </w:r>
      <w:r w:rsidRPr="00063613">
        <w:rPr>
          <w:vertAlign w:val="superscript"/>
          <w:lang w:val="fr-FR"/>
        </w:rPr>
        <w:t>o</w:t>
      </w:r>
      <w:r w:rsidR="00A7338E" w:rsidRPr="00063613">
        <w:rPr>
          <w:lang w:val="fr-FR"/>
        </w:rPr>
        <w:t xml:space="preserve"> </w:t>
      </w:r>
      <w:r w:rsidRPr="00063613">
        <w:rPr>
          <w:lang w:val="fr-FR"/>
        </w:rPr>
        <w:t>6162/14</w:t>
      </w:r>
      <w:r w:rsidR="00A7338E" w:rsidRPr="00063613">
        <w:rPr>
          <w:lang w:val="fr-FR"/>
        </w:rPr>
        <w:br/>
      </w:r>
      <w:r w:rsidRPr="00063613">
        <w:rPr>
          <w:lang w:val="fr-FR"/>
        </w:rPr>
        <w:t>Nicola Gaetano</w:t>
      </w:r>
      <w:r w:rsidR="00A7338E" w:rsidRPr="00063613">
        <w:rPr>
          <w:lang w:val="fr-FR"/>
        </w:rPr>
        <w:t xml:space="preserve"> </w:t>
      </w:r>
      <w:r w:rsidRPr="00063613">
        <w:rPr>
          <w:lang w:val="fr-FR"/>
        </w:rPr>
        <w:t xml:space="preserve">SANTORO </w:t>
      </w:r>
      <w:r w:rsidR="00274B2B" w:rsidRPr="00063613">
        <w:rPr>
          <w:lang w:val="fr-FR"/>
        </w:rPr>
        <w:t xml:space="preserve">et </w:t>
      </w:r>
      <w:r w:rsidR="00F459FC" w:rsidRPr="00063613">
        <w:rPr>
          <w:lang w:val="fr-FR"/>
        </w:rPr>
        <w:t xml:space="preserve">autres </w:t>
      </w:r>
      <w:r w:rsidR="00A7338E" w:rsidRPr="00063613">
        <w:rPr>
          <w:lang w:val="fr-FR"/>
        </w:rPr>
        <w:t xml:space="preserve">contre </w:t>
      </w:r>
      <w:r w:rsidRPr="00063613">
        <w:rPr>
          <w:lang w:val="fr-FR"/>
        </w:rPr>
        <w:t>l</w:t>
      </w:r>
      <w:r w:rsidR="00063613" w:rsidRPr="00063613">
        <w:rPr>
          <w:lang w:val="fr-FR"/>
        </w:rPr>
        <w:t>’</w:t>
      </w:r>
      <w:r w:rsidR="00274B2B" w:rsidRPr="00063613">
        <w:rPr>
          <w:lang w:val="fr-FR"/>
        </w:rPr>
        <w:t>Italie</w:t>
      </w:r>
      <w:r w:rsidR="00274B2B" w:rsidRPr="00063613">
        <w:rPr>
          <w:lang w:val="fr-FR"/>
        </w:rPr>
        <w:br/>
        <w:t>et 2 autres requêtes</w:t>
      </w:r>
      <w:r w:rsidR="00274B2B" w:rsidRPr="00063613">
        <w:rPr>
          <w:lang w:val="fr-FR"/>
        </w:rPr>
        <w:br/>
      </w:r>
      <w:r w:rsidR="00791C0C" w:rsidRPr="00063613">
        <w:rPr>
          <w:lang w:val="fr-FR"/>
        </w:rPr>
        <w:t>(voir liste en annexe)</w:t>
      </w:r>
    </w:p>
    <w:p w:rsidR="00A71632" w:rsidRPr="00063613" w:rsidRDefault="00A71632" w:rsidP="00063613">
      <w:pPr>
        <w:pStyle w:val="ECHRPara"/>
        <w:rPr>
          <w:lang w:val="fr-FR"/>
        </w:rPr>
      </w:pPr>
      <w:r w:rsidRPr="00063613">
        <w:rPr>
          <w:lang w:val="fr-FR"/>
        </w:rPr>
        <w:t>La Cour européenne des droits de l</w:t>
      </w:r>
      <w:r w:rsidR="00063613" w:rsidRPr="00063613">
        <w:rPr>
          <w:lang w:val="fr-FR"/>
        </w:rPr>
        <w:t>’</w:t>
      </w:r>
      <w:r w:rsidRPr="00063613">
        <w:rPr>
          <w:lang w:val="fr-FR"/>
        </w:rPr>
        <w:t>homme</w:t>
      </w:r>
      <w:r w:rsidR="00201FAE" w:rsidRPr="00063613">
        <w:rPr>
          <w:lang w:val="fr-FR"/>
        </w:rPr>
        <w:t xml:space="preserve"> (première section)</w:t>
      </w:r>
      <w:r w:rsidRPr="00063613">
        <w:rPr>
          <w:lang w:val="fr-FR"/>
        </w:rPr>
        <w:t xml:space="preserve">, siégeant le </w:t>
      </w:r>
      <w:r w:rsidR="00201FAE" w:rsidRPr="00063613">
        <w:rPr>
          <w:lang w:val="fr-FR"/>
        </w:rPr>
        <w:t>13 décembre 2018</w:t>
      </w:r>
      <w:r w:rsidRPr="00063613">
        <w:rPr>
          <w:lang w:val="fr-FR"/>
        </w:rPr>
        <w:t xml:space="preserve"> en </w:t>
      </w:r>
      <w:r w:rsidR="00201FAE" w:rsidRPr="00063613">
        <w:rPr>
          <w:lang w:val="fr-FR"/>
        </w:rPr>
        <w:t xml:space="preserve">un comité composé </w:t>
      </w:r>
      <w:r w:rsidRPr="00063613">
        <w:rPr>
          <w:lang w:val="fr-FR"/>
        </w:rPr>
        <w:t>de :</w:t>
      </w:r>
    </w:p>
    <w:p w:rsidR="00A71632" w:rsidRPr="00063613" w:rsidRDefault="00201FAE" w:rsidP="00063613">
      <w:pPr>
        <w:pStyle w:val="ECHRDecisionBody"/>
        <w:rPr>
          <w:lang w:val="fr-FR"/>
        </w:rPr>
      </w:pPr>
      <w:r w:rsidRPr="00063613">
        <w:rPr>
          <w:lang w:val="fr-FR"/>
        </w:rPr>
        <w:tab/>
        <w:t>Aleš Pejchal,</w:t>
      </w:r>
      <w:r w:rsidRPr="00063613">
        <w:rPr>
          <w:i/>
          <w:lang w:val="fr-FR"/>
        </w:rPr>
        <w:t xml:space="preserve"> président,</w:t>
      </w:r>
      <w:r w:rsidRPr="00063613">
        <w:rPr>
          <w:i/>
          <w:lang w:val="fr-FR"/>
        </w:rPr>
        <w:br/>
      </w:r>
      <w:r w:rsidRPr="00063613">
        <w:rPr>
          <w:lang w:val="fr-FR"/>
        </w:rPr>
        <w:tab/>
        <w:t>Jovan Ilievski,</w:t>
      </w:r>
      <w:r w:rsidRPr="00063613">
        <w:rPr>
          <w:i/>
          <w:lang w:val="fr-FR"/>
        </w:rPr>
        <w:br/>
      </w:r>
      <w:r w:rsidRPr="00063613">
        <w:rPr>
          <w:lang w:val="fr-FR"/>
        </w:rPr>
        <w:tab/>
        <w:t>Gilberto Felici,</w:t>
      </w:r>
      <w:r w:rsidRPr="00063613">
        <w:rPr>
          <w:i/>
          <w:lang w:val="fr-FR"/>
        </w:rPr>
        <w:t xml:space="preserve"> juges,</w:t>
      </w:r>
      <w:r w:rsidRPr="00063613">
        <w:rPr>
          <w:i/>
          <w:lang w:val="fr-FR"/>
        </w:rPr>
        <w:br/>
      </w:r>
      <w:r w:rsidR="00A71632" w:rsidRPr="00063613">
        <w:rPr>
          <w:lang w:val="fr-FR"/>
        </w:rPr>
        <w:t xml:space="preserve">et de </w:t>
      </w:r>
      <w:r w:rsidRPr="00063613">
        <w:rPr>
          <w:lang w:val="fr-FR"/>
        </w:rPr>
        <w:t xml:space="preserve">Liv Tigerstedt, </w:t>
      </w:r>
      <w:r w:rsidRPr="00063613">
        <w:rPr>
          <w:i/>
          <w:lang w:val="fr-FR"/>
        </w:rPr>
        <w:t>greffière adjointe de section f.f.,</w:t>
      </w:r>
    </w:p>
    <w:p w:rsidR="00A71632" w:rsidRPr="00063613" w:rsidRDefault="00A71632" w:rsidP="00063613">
      <w:pPr>
        <w:pStyle w:val="ECHRPara"/>
        <w:rPr>
          <w:lang w:val="fr-FR"/>
        </w:rPr>
      </w:pPr>
      <w:r w:rsidRPr="00063613">
        <w:rPr>
          <w:lang w:val="fr-FR"/>
        </w:rPr>
        <w:t xml:space="preserve">Vu </w:t>
      </w:r>
      <w:r w:rsidR="00201FAE" w:rsidRPr="00063613">
        <w:rPr>
          <w:lang w:val="fr-FR"/>
        </w:rPr>
        <w:t>les requêtes</w:t>
      </w:r>
      <w:r w:rsidRPr="00063613">
        <w:rPr>
          <w:lang w:val="fr-FR"/>
        </w:rPr>
        <w:t xml:space="preserve"> susmentionnée</w:t>
      </w:r>
      <w:r w:rsidR="00201FAE" w:rsidRPr="00063613">
        <w:rPr>
          <w:lang w:val="fr-FR"/>
        </w:rPr>
        <w:t>s</w:t>
      </w:r>
      <w:r w:rsidRPr="00063613">
        <w:rPr>
          <w:lang w:val="fr-FR"/>
        </w:rPr>
        <w:t xml:space="preserve"> introduite</w:t>
      </w:r>
      <w:r w:rsidR="00201FAE" w:rsidRPr="00063613">
        <w:rPr>
          <w:lang w:val="fr-FR"/>
        </w:rPr>
        <w:t xml:space="preserve">s aux </w:t>
      </w:r>
      <w:r w:rsidR="0071517B" w:rsidRPr="00063613">
        <w:rPr>
          <w:lang w:val="fr-FR"/>
        </w:rPr>
        <w:t>dates indiquées dans le tableau</w:t>
      </w:r>
      <w:r w:rsidR="00201FAE" w:rsidRPr="00063613">
        <w:rPr>
          <w:lang w:val="fr-FR"/>
        </w:rPr>
        <w:t xml:space="preserve"> joint en annexe</w:t>
      </w:r>
      <w:r w:rsidRPr="00063613">
        <w:rPr>
          <w:lang w:val="fr-FR"/>
        </w:rPr>
        <w:t>,</w:t>
      </w:r>
    </w:p>
    <w:p w:rsidR="00201FAE" w:rsidRPr="00063613" w:rsidRDefault="00A71632" w:rsidP="00063613">
      <w:pPr>
        <w:pStyle w:val="ECHRPara"/>
        <w:rPr>
          <w:lang w:val="fr-FR"/>
        </w:rPr>
      </w:pPr>
      <w:r w:rsidRPr="00063613">
        <w:rPr>
          <w:lang w:val="fr-FR"/>
        </w:rPr>
        <w:t>Vu les déclarations formelles d</w:t>
      </w:r>
      <w:r w:rsidR="00063613" w:rsidRPr="00063613">
        <w:rPr>
          <w:lang w:val="fr-FR"/>
        </w:rPr>
        <w:t>’</w:t>
      </w:r>
      <w:r w:rsidRPr="00063613">
        <w:rPr>
          <w:lang w:val="fr-FR"/>
        </w:rPr>
        <w:t>acceptation d</w:t>
      </w:r>
      <w:r w:rsidR="00063613" w:rsidRPr="00063613">
        <w:rPr>
          <w:lang w:val="fr-FR"/>
        </w:rPr>
        <w:t>’</w:t>
      </w:r>
      <w:r w:rsidR="00201FAE" w:rsidRPr="00063613">
        <w:rPr>
          <w:lang w:val="fr-FR"/>
        </w:rPr>
        <w:t xml:space="preserve">un règlement amiable de ces </w:t>
      </w:r>
      <w:r w:rsidRPr="00063613">
        <w:rPr>
          <w:lang w:val="fr-FR"/>
        </w:rPr>
        <w:t>affaire</w:t>
      </w:r>
      <w:r w:rsidR="00201FAE" w:rsidRPr="00063613">
        <w:rPr>
          <w:lang w:val="fr-FR"/>
        </w:rPr>
        <w:t>s</w:t>
      </w:r>
      <w:r w:rsidRPr="00063613">
        <w:rPr>
          <w:lang w:val="fr-FR"/>
        </w:rPr>
        <w:t>,</w:t>
      </w:r>
    </w:p>
    <w:p w:rsidR="00A71632" w:rsidRPr="00063613" w:rsidRDefault="00A71632" w:rsidP="00063613">
      <w:pPr>
        <w:ind w:firstLine="284"/>
        <w:rPr>
          <w:lang w:val="fr-FR"/>
        </w:rPr>
      </w:pPr>
      <w:r w:rsidRPr="00063613">
        <w:rPr>
          <w:lang w:val="fr-FR"/>
        </w:rPr>
        <w:t>Après en avoir délibéré, rend la décision suivante :</w:t>
      </w:r>
    </w:p>
    <w:p w:rsidR="00A71632" w:rsidRPr="00063613" w:rsidRDefault="00A71632" w:rsidP="00063613">
      <w:pPr>
        <w:pStyle w:val="ECHRTitle1"/>
        <w:rPr>
          <w:lang w:val="fr-FR"/>
        </w:rPr>
      </w:pPr>
      <w:r w:rsidRPr="00063613">
        <w:rPr>
          <w:lang w:val="fr-FR"/>
        </w:rPr>
        <w:t>FAIT</w:t>
      </w:r>
      <w:r w:rsidR="00EB622C" w:rsidRPr="00063613">
        <w:rPr>
          <w:lang w:val="fr-FR"/>
        </w:rPr>
        <w:t>S</w:t>
      </w:r>
      <w:r w:rsidR="00201FAE" w:rsidRPr="00063613">
        <w:rPr>
          <w:lang w:val="fr-FR"/>
        </w:rPr>
        <w:t xml:space="preserve"> ET PROCEDURE</w:t>
      </w:r>
    </w:p>
    <w:p w:rsidR="00201FAE" w:rsidRPr="00063613" w:rsidRDefault="00201FAE" w:rsidP="00063613">
      <w:pPr>
        <w:pStyle w:val="ECHRPara"/>
        <w:rPr>
          <w:rFonts w:eastAsiaTheme="minorHAnsi"/>
          <w:lang w:val="fr-FR"/>
        </w:rPr>
      </w:pPr>
      <w:r w:rsidRPr="00063613">
        <w:rPr>
          <w:rFonts w:eastAsiaTheme="minorHAnsi"/>
          <w:lang w:val="fr-FR"/>
        </w:rPr>
        <w:t>La liste des requérants et de leurs représentants se trouve dans le tableau joint en annexe.</w:t>
      </w:r>
    </w:p>
    <w:p w:rsidR="00201FAE" w:rsidRPr="00063613" w:rsidRDefault="00201FAE" w:rsidP="00063613">
      <w:pPr>
        <w:pStyle w:val="ECHRPara"/>
        <w:rPr>
          <w:rFonts w:eastAsiaTheme="minorHAnsi"/>
          <w:lang w:val="fr-FR"/>
        </w:rPr>
      </w:pPr>
      <w:r w:rsidRPr="00063613">
        <w:rPr>
          <w:rFonts w:eastAsiaTheme="minorHAnsi"/>
          <w:lang w:val="fr-FR"/>
        </w:rPr>
        <w:t>Les griefs que les requérants tiraient de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article 6 § 1 de la Convention (ingérence du législateur par la loi n</w:t>
      </w:r>
      <w:r w:rsidRPr="00063613">
        <w:rPr>
          <w:rFonts w:eastAsiaTheme="minorHAnsi"/>
          <w:vertAlign w:val="superscript"/>
          <w:lang w:val="fr-FR"/>
        </w:rPr>
        <w:t>o</w:t>
      </w:r>
      <w:r w:rsidRPr="00063613">
        <w:rPr>
          <w:rFonts w:eastAsiaTheme="minorHAnsi"/>
          <w:lang w:val="fr-FR"/>
        </w:rPr>
        <w:t xml:space="preserve"> 296/2006 dans une procédure judiciaire) ont été communiqués au gouvernement italien (« le Gouvernement »).</w:t>
      </w:r>
    </w:p>
    <w:p w:rsidR="00201FAE" w:rsidRPr="00063613" w:rsidRDefault="00201FAE" w:rsidP="00063613">
      <w:pPr>
        <w:pStyle w:val="ECHRPara"/>
        <w:rPr>
          <w:rFonts w:eastAsiaTheme="minorHAnsi"/>
          <w:lang w:val="fr-FR"/>
        </w:rPr>
      </w:pPr>
      <w:r w:rsidRPr="00063613">
        <w:rPr>
          <w:rFonts w:eastAsiaTheme="minorHAnsi"/>
          <w:lang w:val="fr-FR"/>
        </w:rPr>
        <w:t>La Cour a reçu des déclarations de règlement amiable en vertu desquelles</w:t>
      </w:r>
      <w:r w:rsidR="003C5452" w:rsidRPr="00063613">
        <w:rPr>
          <w:rFonts w:eastAsiaTheme="minorHAnsi"/>
          <w:lang w:val="fr-FR"/>
        </w:rPr>
        <w:t xml:space="preserve"> </w:t>
      </w:r>
      <w:r w:rsidRPr="00063613">
        <w:rPr>
          <w:rFonts w:eastAsiaTheme="minorHAnsi"/>
          <w:lang w:val="fr-FR"/>
        </w:rPr>
        <w:t>les requérants acceptaient de renoncer à toute autre prétention à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encontre de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Italie à propos des faits à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origine de ces requêtes, le Gouvernement s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étant engagé à leur verser les sommes reproduites dans le tableau joint en annexe. Ces sommes seront payables dans un délai de trois mois à compter de la date de la notification de la décision de la Cour. Si elles n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étaient pas versées dans ce délai, le Gouvernement s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 xml:space="preserve">engage à les majorer, à compter de </w:t>
      </w:r>
      <w:r w:rsidRPr="00063613">
        <w:rPr>
          <w:rFonts w:eastAsiaTheme="minorHAnsi"/>
          <w:lang w:val="fr-FR"/>
        </w:rPr>
        <w:lastRenderedPageBreak/>
        <w:t>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expiration du délai et jusqu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au règlement, d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201FAE" w:rsidRPr="00063613" w:rsidRDefault="00201FAE" w:rsidP="00063613">
      <w:pPr>
        <w:pStyle w:val="ECHRPara"/>
        <w:rPr>
          <w:rFonts w:eastAsiaTheme="minorHAnsi"/>
          <w:lang w:val="fr-FR"/>
        </w:rPr>
      </w:pPr>
      <w:r w:rsidRPr="00063613">
        <w:rPr>
          <w:rFonts w:eastAsiaTheme="minorHAnsi"/>
          <w:lang w:val="fr-FR"/>
        </w:rPr>
        <w:t>Le paiement vaudra règlement définitif des affaires.</w:t>
      </w:r>
    </w:p>
    <w:p w:rsidR="00A71632" w:rsidRPr="00063613" w:rsidRDefault="00201FAE" w:rsidP="00063613">
      <w:pPr>
        <w:pStyle w:val="ECHRTitle1"/>
        <w:rPr>
          <w:sz w:val="24"/>
          <w:szCs w:val="24"/>
          <w:lang w:val="fr-FR"/>
        </w:rPr>
      </w:pPr>
      <w:r w:rsidRPr="00063613">
        <w:rPr>
          <w:rFonts w:eastAsiaTheme="minorHAnsi"/>
          <w:lang w:val="fr-FR"/>
        </w:rPr>
        <w:t>EN DROIT</w:t>
      </w:r>
    </w:p>
    <w:p w:rsidR="00201FAE" w:rsidRPr="00063613" w:rsidRDefault="00201FAE" w:rsidP="00063613">
      <w:pPr>
        <w:pStyle w:val="ECHRPara"/>
        <w:rPr>
          <w:rFonts w:eastAsiaTheme="minorHAnsi"/>
          <w:lang w:val="fr-FR"/>
        </w:rPr>
      </w:pPr>
      <w:r w:rsidRPr="00063613">
        <w:rPr>
          <w:rFonts w:eastAsiaTheme="minorHAnsi"/>
          <w:lang w:val="fr-FR"/>
        </w:rPr>
        <w:t>Compte tenu de la similitude des requêtes la Cour estime approprié de les examiner conjointement en une seule décision.</w:t>
      </w:r>
    </w:p>
    <w:p w:rsidR="00201FAE" w:rsidRPr="00063613" w:rsidRDefault="00201FAE" w:rsidP="00063613">
      <w:pPr>
        <w:pStyle w:val="ECHRPara"/>
        <w:rPr>
          <w:rFonts w:eastAsiaTheme="minorHAnsi"/>
          <w:lang w:val="fr-FR"/>
        </w:rPr>
      </w:pPr>
      <w:r w:rsidRPr="00063613">
        <w:rPr>
          <w:rFonts w:eastAsiaTheme="minorHAnsi"/>
          <w:lang w:val="fr-FR"/>
        </w:rPr>
        <w:t>La Cour prend acte de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accord intervenu entre les parties. Elle considère que cet accord repose sur le respect des droits de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homme garantis par la Convention et ses Protocoles et ne voit pas de raison qui exigerait qu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elle poursuive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examen des requêtes concernées. Compte tenu de ce qui précède, il y a lieu de rayer ces requêtes du rôle.</w:t>
      </w:r>
    </w:p>
    <w:p w:rsidR="00201FAE" w:rsidRPr="00063613" w:rsidRDefault="00201FAE" w:rsidP="00063613">
      <w:pPr>
        <w:pStyle w:val="JuParaLast"/>
        <w:rPr>
          <w:rFonts w:eastAsiaTheme="minorHAnsi"/>
          <w:lang w:val="fr-FR"/>
        </w:rPr>
      </w:pPr>
      <w:r w:rsidRPr="00063613">
        <w:rPr>
          <w:rFonts w:eastAsiaTheme="minorHAnsi"/>
          <w:lang w:val="fr-FR"/>
        </w:rPr>
        <w:t>Par ces motifs, la Cour, à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unanimité,</w:t>
      </w:r>
    </w:p>
    <w:p w:rsidR="00201FAE" w:rsidRPr="00063613" w:rsidRDefault="00201FAE" w:rsidP="00063613">
      <w:pPr>
        <w:pStyle w:val="DecList"/>
        <w:rPr>
          <w:rFonts w:eastAsiaTheme="minorHAnsi"/>
          <w:lang w:val="fr-FR"/>
        </w:rPr>
      </w:pPr>
      <w:r w:rsidRPr="00063613">
        <w:rPr>
          <w:rFonts w:eastAsiaTheme="minorHAnsi" w:cs="TimesNewRomanPS-ItalicMT"/>
          <w:i/>
          <w:iCs/>
          <w:lang w:val="fr-FR"/>
        </w:rPr>
        <w:t xml:space="preserve">Décide </w:t>
      </w:r>
      <w:r w:rsidRPr="00063613">
        <w:rPr>
          <w:rFonts w:eastAsiaTheme="minorHAnsi"/>
          <w:lang w:val="fr-FR"/>
        </w:rPr>
        <w:t>de joindre les requêtes ;</w:t>
      </w:r>
    </w:p>
    <w:p w:rsidR="008E4482" w:rsidRPr="00063613" w:rsidRDefault="00201FAE" w:rsidP="00063613">
      <w:pPr>
        <w:pStyle w:val="DecList"/>
        <w:rPr>
          <w:rFonts w:eastAsiaTheme="minorHAnsi"/>
          <w:lang w:val="fr-FR"/>
        </w:rPr>
      </w:pPr>
      <w:r w:rsidRPr="00063613">
        <w:rPr>
          <w:rFonts w:eastAsiaTheme="minorHAnsi" w:cs="TimesNewRomanPS-ItalicMT"/>
          <w:i/>
          <w:iCs/>
          <w:lang w:val="fr-FR"/>
        </w:rPr>
        <w:t xml:space="preserve">Décide </w:t>
      </w:r>
      <w:r w:rsidRPr="00063613">
        <w:rPr>
          <w:rFonts w:eastAsiaTheme="minorHAnsi"/>
          <w:lang w:val="fr-FR"/>
        </w:rPr>
        <w:t>de rayer les requêtes du rôle conformément à l</w:t>
      </w:r>
      <w:r w:rsidR="00063613" w:rsidRPr="00063613">
        <w:rPr>
          <w:rFonts w:eastAsiaTheme="minorHAnsi"/>
          <w:lang w:val="fr-FR"/>
        </w:rPr>
        <w:t>’</w:t>
      </w:r>
      <w:r w:rsidRPr="00063613">
        <w:rPr>
          <w:rFonts w:eastAsiaTheme="minorHAnsi"/>
          <w:lang w:val="fr-FR"/>
        </w:rPr>
        <w:t>article 39 de la Convention.</w:t>
      </w:r>
    </w:p>
    <w:p w:rsidR="00023AD3" w:rsidRPr="00063613" w:rsidRDefault="00BB1021" w:rsidP="00063613">
      <w:pPr>
        <w:pStyle w:val="JuParaLast"/>
        <w:rPr>
          <w:lang w:val="fr-FR"/>
        </w:rPr>
      </w:pPr>
      <w:r w:rsidRPr="00063613">
        <w:rPr>
          <w:szCs w:val="24"/>
          <w:lang w:val="fr-FR"/>
        </w:rPr>
        <w:t xml:space="preserve">Fait en français puis communiqué par écrit le </w:t>
      </w:r>
      <w:r w:rsidR="00201FAE" w:rsidRPr="00063613">
        <w:rPr>
          <w:szCs w:val="24"/>
          <w:lang w:val="fr-FR"/>
        </w:rPr>
        <w:t>17 janvier 2019</w:t>
      </w:r>
      <w:r w:rsidRPr="00063613">
        <w:rPr>
          <w:lang w:val="fr-FR"/>
        </w:rPr>
        <w:t>.</w:t>
      </w:r>
    </w:p>
    <w:p w:rsidR="00023AD3" w:rsidRPr="00063613" w:rsidRDefault="00201FAE" w:rsidP="00063613">
      <w:pPr>
        <w:pStyle w:val="JuSigned"/>
        <w:keepNext/>
        <w:keepLines/>
        <w:rPr>
          <w:szCs w:val="24"/>
          <w:lang w:val="fr-FR"/>
        </w:rPr>
      </w:pPr>
      <w:r w:rsidRPr="00063613">
        <w:rPr>
          <w:lang w:val="fr-FR"/>
        </w:rPr>
        <w:tab/>
        <w:t>Liv Tigerstedt</w:t>
      </w:r>
      <w:r w:rsidR="00023AD3" w:rsidRPr="00063613">
        <w:rPr>
          <w:lang w:val="fr-FR"/>
        </w:rPr>
        <w:tab/>
      </w:r>
      <w:r w:rsidRPr="00063613">
        <w:rPr>
          <w:szCs w:val="24"/>
          <w:lang w:val="fr-FR"/>
        </w:rPr>
        <w:t xml:space="preserve">Aleš Pejchal </w:t>
      </w:r>
      <w:r w:rsidR="00023AD3" w:rsidRPr="00063613">
        <w:rPr>
          <w:lang w:val="fr-FR"/>
        </w:rPr>
        <w:br/>
      </w:r>
      <w:r w:rsidR="00023AD3" w:rsidRPr="00063613">
        <w:rPr>
          <w:lang w:val="fr-FR"/>
        </w:rPr>
        <w:tab/>
      </w:r>
      <w:r w:rsidRPr="00063613">
        <w:rPr>
          <w:szCs w:val="24"/>
          <w:lang w:val="fr-FR"/>
        </w:rPr>
        <w:t>Greffière adjointe f.f.</w:t>
      </w:r>
      <w:r w:rsidR="00023AD3" w:rsidRPr="00063613">
        <w:rPr>
          <w:lang w:val="fr-FR"/>
        </w:rPr>
        <w:tab/>
      </w:r>
      <w:r w:rsidRPr="00063613">
        <w:rPr>
          <w:szCs w:val="24"/>
          <w:lang w:val="fr-FR"/>
        </w:rPr>
        <w:t>Président</w:t>
      </w:r>
    </w:p>
    <w:p w:rsidR="00023AD3" w:rsidRPr="00063613" w:rsidRDefault="00023AD3" w:rsidP="00063613">
      <w:pPr>
        <w:rPr>
          <w:lang w:val="fr-FR"/>
        </w:rPr>
      </w:pPr>
    </w:p>
    <w:p w:rsidR="0018636F" w:rsidRPr="00063613" w:rsidRDefault="0018636F" w:rsidP="00063613">
      <w:pPr>
        <w:rPr>
          <w:lang w:val="fr-FR"/>
        </w:rPr>
        <w:sectPr w:rsidR="0018636F" w:rsidRPr="00063613" w:rsidSect="00A4477A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201FAE" w:rsidRPr="00063613" w:rsidRDefault="00201FAE" w:rsidP="00063613">
      <w:pPr>
        <w:pStyle w:val="JuTitle"/>
        <w:rPr>
          <w:lang w:val="fr-FR"/>
        </w:rPr>
      </w:pPr>
      <w:r w:rsidRPr="00063613">
        <w:rPr>
          <w:lang w:val="fr-FR"/>
        </w:rPr>
        <w:lastRenderedPageBreak/>
        <w:t>ANNEXE</w:t>
      </w:r>
    </w:p>
    <w:tbl>
      <w:tblPr>
        <w:tblStyle w:val="ECHRListTable"/>
        <w:tblW w:w="12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1134"/>
        <w:gridCol w:w="2158"/>
        <w:gridCol w:w="1136"/>
        <w:gridCol w:w="1294"/>
        <w:gridCol w:w="1275"/>
        <w:gridCol w:w="1892"/>
        <w:gridCol w:w="1843"/>
        <w:gridCol w:w="1275"/>
      </w:tblGrid>
      <w:tr w:rsidR="00056987" w:rsidRPr="00063613" w:rsidTr="00056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</w:trPr>
        <w:tc>
          <w:tcPr>
            <w:tcW w:w="429" w:type="dxa"/>
            <w:hideMark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sz w:val="16"/>
                <w:szCs w:val="20"/>
                <w:lang w:val="fr-FR"/>
              </w:rPr>
              <w:t>N</w:t>
            </w:r>
            <w:r w:rsidRPr="00063613">
              <w:rPr>
                <w:sz w:val="16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1134" w:type="dxa"/>
            <w:hideMark/>
          </w:tcPr>
          <w:p w:rsidR="00056987" w:rsidRPr="00063613" w:rsidRDefault="00056987" w:rsidP="0006361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sz w:val="16"/>
                <w:szCs w:val="20"/>
                <w:lang w:val="fr-FR"/>
              </w:rPr>
              <w:t>Numéro et date d</w:t>
            </w:r>
            <w:r w:rsidR="00063613" w:rsidRPr="00063613">
              <w:rPr>
                <w:sz w:val="16"/>
                <w:szCs w:val="20"/>
                <w:lang w:val="fr-FR"/>
              </w:rPr>
              <w:t>’</w:t>
            </w:r>
            <w:r w:rsidRPr="00063613">
              <w:rPr>
                <w:sz w:val="16"/>
                <w:szCs w:val="20"/>
                <w:lang w:val="fr-FR"/>
              </w:rPr>
              <w:t>introduction de la requête</w:t>
            </w:r>
          </w:p>
        </w:tc>
        <w:tc>
          <w:tcPr>
            <w:tcW w:w="2158" w:type="dxa"/>
            <w:hideMark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sz w:val="16"/>
                <w:szCs w:val="20"/>
                <w:lang w:val="fr-FR"/>
              </w:rPr>
              <w:t>Nom du requérant et date de naissance/date d</w:t>
            </w:r>
            <w:r w:rsidR="00063613" w:rsidRPr="00063613">
              <w:rPr>
                <w:sz w:val="16"/>
                <w:szCs w:val="20"/>
                <w:lang w:val="fr-FR"/>
              </w:rPr>
              <w:t>’</w:t>
            </w:r>
            <w:r w:rsidRPr="00063613">
              <w:rPr>
                <w:sz w:val="16"/>
                <w:szCs w:val="20"/>
                <w:lang w:val="fr-FR"/>
              </w:rPr>
              <w:t xml:space="preserve">enregistrement </w:t>
            </w:r>
          </w:p>
        </w:tc>
        <w:tc>
          <w:tcPr>
            <w:tcW w:w="1136" w:type="dxa"/>
          </w:tcPr>
          <w:p w:rsidR="00056987" w:rsidRPr="00063613" w:rsidRDefault="00056987" w:rsidP="00063613">
            <w:pPr>
              <w:jc w:val="center"/>
              <w:rPr>
                <w:sz w:val="16"/>
                <w:szCs w:val="16"/>
                <w:lang w:val="fr-FR"/>
              </w:rPr>
            </w:pPr>
            <w:r w:rsidRPr="00063613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294" w:type="dxa"/>
            <w:hideMark/>
          </w:tcPr>
          <w:p w:rsidR="00056987" w:rsidRPr="00063613" w:rsidRDefault="00056987" w:rsidP="00063613">
            <w:pPr>
              <w:jc w:val="center"/>
              <w:rPr>
                <w:sz w:val="16"/>
                <w:szCs w:val="20"/>
                <w:lang w:val="fr-FR"/>
              </w:rPr>
            </w:pPr>
            <w:r w:rsidRPr="00063613">
              <w:rPr>
                <w:sz w:val="16"/>
                <w:szCs w:val="20"/>
                <w:lang w:val="fr-FR"/>
              </w:rPr>
              <w:t>Date de réception de la déclaration du Gouvernement</w:t>
            </w:r>
          </w:p>
        </w:tc>
        <w:tc>
          <w:tcPr>
            <w:tcW w:w="1275" w:type="dxa"/>
            <w:hideMark/>
          </w:tcPr>
          <w:p w:rsidR="00056987" w:rsidRPr="00063613" w:rsidRDefault="00056987" w:rsidP="00063613">
            <w:pPr>
              <w:jc w:val="center"/>
              <w:rPr>
                <w:sz w:val="16"/>
                <w:szCs w:val="20"/>
                <w:lang w:val="fr-FR"/>
              </w:rPr>
            </w:pPr>
            <w:r w:rsidRPr="00063613">
              <w:rPr>
                <w:sz w:val="16"/>
                <w:szCs w:val="20"/>
                <w:lang w:val="fr-FR"/>
              </w:rPr>
              <w:t>Date de réception de la déclaration du requérant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92" w:type="dxa"/>
            <w:hideMark/>
          </w:tcPr>
          <w:p w:rsidR="00056987" w:rsidRPr="00063613" w:rsidRDefault="00056987" w:rsidP="00063613">
            <w:pPr>
              <w:jc w:val="center"/>
              <w:rPr>
                <w:rFonts w:cstheme="minorHAnsi"/>
                <w:sz w:val="16"/>
                <w:szCs w:val="16"/>
                <w:lang w:val="fr-FR"/>
              </w:rPr>
            </w:pPr>
            <w:r w:rsidRPr="00063613">
              <w:rPr>
                <w:rFonts w:cstheme="minorHAnsi"/>
                <w:sz w:val="16"/>
                <w:szCs w:val="16"/>
                <w:lang w:val="fr-FR"/>
              </w:rPr>
              <w:t>Montant alloué pour dommage matériel par requérant ou foyer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cstheme="minorHAnsi"/>
                <w:sz w:val="16"/>
                <w:szCs w:val="16"/>
                <w:lang w:val="fr-FR"/>
              </w:rPr>
              <w:t xml:space="preserve">(en </w:t>
            </w:r>
            <w:r w:rsidRPr="00063613">
              <w:rPr>
                <w:bCs/>
                <w:sz w:val="16"/>
                <w:szCs w:val="16"/>
                <w:lang w:val="fr-FR" w:eastAsia="fr-FR"/>
              </w:rPr>
              <w:t>euros</w:t>
            </w: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1843" w:type="dxa"/>
            <w:hideMark/>
          </w:tcPr>
          <w:p w:rsidR="00056987" w:rsidRPr="00063613" w:rsidRDefault="00056987" w:rsidP="00063613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063613">
              <w:rPr>
                <w:bCs/>
                <w:sz w:val="16"/>
                <w:szCs w:val="20"/>
                <w:lang w:val="fr-FR" w:eastAsia="fr-FR"/>
              </w:rPr>
              <w:t>Montant alloué pour dommage moral</w:t>
            </w:r>
          </w:p>
          <w:p w:rsidR="00056987" w:rsidRPr="00063613" w:rsidRDefault="00056987" w:rsidP="00063613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063613">
              <w:rPr>
                <w:bCs/>
                <w:sz w:val="16"/>
                <w:szCs w:val="20"/>
                <w:lang w:val="fr-FR" w:eastAsia="fr-FR"/>
              </w:rPr>
              <w:t>par requérant ou foyer</w:t>
            </w:r>
          </w:p>
          <w:p w:rsidR="00056987" w:rsidRPr="00063613" w:rsidRDefault="00056987" w:rsidP="0006361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  <w:r w:rsidRPr="00063613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  <w:lang w:val="fr-FR"/>
              </w:rPr>
              <w:endnoteReference w:id="1"/>
            </w:r>
          </w:p>
        </w:tc>
        <w:tc>
          <w:tcPr>
            <w:tcW w:w="1275" w:type="dxa"/>
            <w:hideMark/>
          </w:tcPr>
          <w:p w:rsidR="00056987" w:rsidRPr="00063613" w:rsidRDefault="00056987" w:rsidP="00063613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063613">
              <w:rPr>
                <w:bCs/>
                <w:sz w:val="16"/>
                <w:szCs w:val="20"/>
                <w:lang w:val="fr-FR" w:eastAsia="fr-FR"/>
              </w:rPr>
              <w:t>Montant alloué pour frais et dépens</w:t>
            </w:r>
          </w:p>
          <w:p w:rsidR="00056987" w:rsidRPr="00063613" w:rsidRDefault="00056987" w:rsidP="00063613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063613">
              <w:rPr>
                <w:bCs/>
                <w:sz w:val="16"/>
                <w:szCs w:val="20"/>
                <w:lang w:val="fr-FR" w:eastAsia="fr-FR"/>
              </w:rPr>
              <w:t>par requête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063613">
              <w:rPr>
                <w:rFonts w:ascii="Times New Roman" w:eastAsia="PMingLiU" w:hAnsi="Times New Roman" w:cs="Times New Roman"/>
                <w:sz w:val="12"/>
                <w:szCs w:val="16"/>
                <w:lang w:val="fr-FR"/>
              </w:rPr>
              <w:t>)</w:t>
            </w:r>
            <w:r w:rsidRPr="00063613">
              <w:rPr>
                <w:rStyle w:val="Rimandonotadichiusura"/>
                <w:rFonts w:ascii="Times New Roman" w:eastAsia="PMingLiU" w:hAnsi="Times New Roman" w:cs="Times New Roman"/>
                <w:sz w:val="12"/>
                <w:szCs w:val="16"/>
                <w:lang w:val="fr-FR"/>
              </w:rPr>
              <w:endnoteReference w:id="2"/>
            </w:r>
          </w:p>
        </w:tc>
      </w:tr>
      <w:tr w:rsidR="00056987" w:rsidRPr="00063613" w:rsidTr="00056987">
        <w:tc>
          <w:tcPr>
            <w:tcW w:w="429" w:type="dxa"/>
          </w:tcPr>
          <w:p w:rsidR="00056987" w:rsidRPr="00063613" w:rsidRDefault="00056987" w:rsidP="00063613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WECLListStart"/>
            <w:bookmarkEnd w:id="1"/>
          </w:p>
        </w:tc>
        <w:tc>
          <w:tcPr>
            <w:tcW w:w="1134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6162/14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14/12/2013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(6 applicants)</w:t>
            </w:r>
          </w:p>
        </w:tc>
        <w:tc>
          <w:tcPr>
            <w:tcW w:w="2158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Gaetano SANTORO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22/02/1924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SANTORO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08/07/1935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Nicola SANTORO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05/10/1952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Anselmo Goffredo SANTORO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05/01/1955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Assunta LUPERTO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15/12/1960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LUPERTO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25/07/1964</w:t>
            </w:r>
          </w:p>
        </w:tc>
        <w:tc>
          <w:tcPr>
            <w:tcW w:w="1136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Maiorano Leonardo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Corigliano d</w:t>
            </w:r>
            <w:r w:rsidR="00063613"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’</w:t>
            </w: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Otranto</w:t>
            </w:r>
            <w:r w:rsidR="00063613"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(LE)</w:t>
            </w:r>
          </w:p>
        </w:tc>
        <w:tc>
          <w:tcPr>
            <w:tcW w:w="1294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31/05/2018</w:t>
            </w:r>
          </w:p>
        </w:tc>
        <w:tc>
          <w:tcPr>
            <w:tcW w:w="1275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17/07/2018</w:t>
            </w:r>
          </w:p>
        </w:tc>
        <w:tc>
          <w:tcPr>
            <w:tcW w:w="1892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7 413</w:t>
            </w:r>
          </w:p>
        </w:tc>
        <w:tc>
          <w:tcPr>
            <w:tcW w:w="1843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5 000</w:t>
            </w:r>
          </w:p>
        </w:tc>
        <w:tc>
          <w:tcPr>
            <w:tcW w:w="1275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</w:tr>
      <w:tr w:rsidR="00056987" w:rsidRPr="00063613" w:rsidTr="00056987">
        <w:tc>
          <w:tcPr>
            <w:tcW w:w="429" w:type="dxa"/>
          </w:tcPr>
          <w:p w:rsidR="00056987" w:rsidRPr="00063613" w:rsidRDefault="00056987" w:rsidP="00063613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36415/14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16/04/2014</w:t>
            </w:r>
          </w:p>
        </w:tc>
        <w:tc>
          <w:tcPr>
            <w:tcW w:w="2158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Mario Pisanello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06/10/1944</w:t>
            </w:r>
          </w:p>
        </w:tc>
        <w:tc>
          <w:tcPr>
            <w:tcW w:w="1136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Troso Antonio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Lecce</w:t>
            </w:r>
          </w:p>
        </w:tc>
        <w:tc>
          <w:tcPr>
            <w:tcW w:w="1294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31/05/2018</w:t>
            </w:r>
          </w:p>
        </w:tc>
        <w:tc>
          <w:tcPr>
            <w:tcW w:w="1275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26/07/2018</w:t>
            </w:r>
          </w:p>
        </w:tc>
        <w:tc>
          <w:tcPr>
            <w:tcW w:w="1892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11 168</w:t>
            </w:r>
          </w:p>
        </w:tc>
        <w:tc>
          <w:tcPr>
            <w:tcW w:w="1843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5 000</w:t>
            </w:r>
          </w:p>
        </w:tc>
        <w:tc>
          <w:tcPr>
            <w:tcW w:w="1275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</w:tr>
      <w:tr w:rsidR="00056987" w:rsidRPr="00063613" w:rsidTr="00056987">
        <w:tc>
          <w:tcPr>
            <w:tcW w:w="429" w:type="dxa"/>
          </w:tcPr>
          <w:p w:rsidR="00056987" w:rsidRPr="00063613" w:rsidRDefault="00056987" w:rsidP="00063613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36427/14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16/04/2014</w:t>
            </w:r>
          </w:p>
        </w:tc>
        <w:tc>
          <w:tcPr>
            <w:tcW w:w="2158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Longo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19/11/1939</w:t>
            </w:r>
          </w:p>
        </w:tc>
        <w:tc>
          <w:tcPr>
            <w:tcW w:w="1136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Troso Antonio</w:t>
            </w:r>
          </w:p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Lecce</w:t>
            </w:r>
          </w:p>
        </w:tc>
        <w:tc>
          <w:tcPr>
            <w:tcW w:w="1294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31/05/2018</w:t>
            </w:r>
          </w:p>
        </w:tc>
        <w:tc>
          <w:tcPr>
            <w:tcW w:w="1275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10/07/2018</w:t>
            </w:r>
          </w:p>
        </w:tc>
        <w:tc>
          <w:tcPr>
            <w:tcW w:w="1892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8 335</w:t>
            </w:r>
          </w:p>
        </w:tc>
        <w:tc>
          <w:tcPr>
            <w:tcW w:w="1843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5 000</w:t>
            </w:r>
          </w:p>
        </w:tc>
        <w:tc>
          <w:tcPr>
            <w:tcW w:w="1275" w:type="dxa"/>
          </w:tcPr>
          <w:p w:rsidR="00056987" w:rsidRPr="00063613" w:rsidRDefault="00056987" w:rsidP="0006361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063613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</w:tr>
    </w:tbl>
    <w:p w:rsidR="004D15F3" w:rsidRPr="00063613" w:rsidRDefault="004D15F3" w:rsidP="00063613">
      <w:pPr>
        <w:rPr>
          <w:lang w:val="fr-FR"/>
        </w:rPr>
      </w:pPr>
    </w:p>
    <w:sectPr w:rsidR="004D15F3" w:rsidRPr="00063613" w:rsidSect="0018636F">
      <w:headerReference w:type="first" r:id="rId16"/>
      <w:footerReference w:type="first" r:id="rId17"/>
      <w:pgSz w:w="16838" w:h="11906" w:orient="landscape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7B" w:rsidRPr="00413286" w:rsidRDefault="000A747B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0A747B" w:rsidRPr="00413286" w:rsidRDefault="000A747B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  <w:endnote w:id="1">
    <w:p w:rsidR="00056987" w:rsidRPr="00987E4B" w:rsidRDefault="00056987" w:rsidP="0018636F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056987">
        <w:rPr>
          <w:rFonts w:ascii="Times New Roman" w:hAnsi="Times New Roman" w:cs="Times New Roman"/>
          <w:sz w:val="16"/>
          <w:szCs w:val="16"/>
          <w:lang w:val="fr-FR"/>
        </w:rPr>
        <w:endnoteRef/>
      </w:r>
      <w:r w:rsidRPr="00987E4B">
        <w:rPr>
          <w:rFonts w:ascii="Times New Roman" w:hAnsi="Times New Roman" w:cs="Times New Roman"/>
          <w:sz w:val="16"/>
          <w:szCs w:val="16"/>
          <w:lang w:val="fr-FR"/>
        </w:rPr>
        <w:t>.  Plus tout montant pouvant être dû à titre d’impôt par la partie requérante.</w:t>
      </w:r>
    </w:p>
  </w:endnote>
  <w:endnote w:id="2">
    <w:p w:rsidR="00056987" w:rsidRPr="00987E4B" w:rsidRDefault="00056987" w:rsidP="0018636F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056987">
        <w:rPr>
          <w:rFonts w:ascii="Times New Roman" w:hAnsi="Times New Roman" w:cs="Times New Roman"/>
          <w:sz w:val="16"/>
          <w:szCs w:val="16"/>
          <w:lang w:val="fr-FR"/>
        </w:rPr>
        <w:endnoteRef/>
      </w:r>
      <w:r w:rsidRPr="00987E4B">
        <w:rPr>
          <w:rFonts w:ascii="Times New Roman" w:hAnsi="Times New Roman" w:cs="Times New Roman"/>
          <w:sz w:val="16"/>
          <w:szCs w:val="16"/>
          <w:lang w:val="fr-FR"/>
        </w:rPr>
        <w:t>.  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AE" w:rsidRPr="00201FAE" w:rsidRDefault="00201FAE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669CF386" wp14:editId="2E37410F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2C" w:rsidRPr="00201FAE" w:rsidRDefault="00EB622C" w:rsidP="0020718E">
    <w:pPr>
      <w:jc w:val="center"/>
      <w:rPr>
        <w:lang w:val="fr-FR"/>
      </w:rPr>
    </w:pPr>
  </w:p>
  <w:p w:rsidR="00EB622C" w:rsidRPr="00413286" w:rsidRDefault="00EB622C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7B" w:rsidRPr="00413286" w:rsidRDefault="000A747B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0A747B" w:rsidRPr="00413286" w:rsidRDefault="000A747B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201FAE" w:rsidP="00056987">
    <w:pPr>
      <w:pStyle w:val="JuHeaderLandscape"/>
      <w:tabs>
        <w:tab w:val="clear" w:pos="6146"/>
        <w:tab w:val="center" w:pos="3686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03550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 w:rsidR="00EB622C">
      <w:rPr>
        <w:lang w:val="fr-FR"/>
      </w:rPr>
      <w:t xml:space="preserve">SANTORO ET </w:t>
    </w:r>
    <w:r w:rsidR="007A26A8">
      <w:rPr>
        <w:lang w:val="fr-FR"/>
      </w:rPr>
      <w:t>AUTRES</w:t>
    </w:r>
    <w:r w:rsidR="00791C0C">
      <w:rPr>
        <w:lang w:val="fr-FR"/>
      </w:rPr>
      <w:t xml:space="preserve"> c. ITALIE</w:t>
    </w:r>
    <w:r w:rsidR="00A955B5">
      <w:rPr>
        <w:lang w:val="fr-FR"/>
      </w:rPr>
      <w:t xml:space="preserve"> ET AUTRES REQU</w:t>
    </w:r>
    <w:r w:rsidR="00A955B5">
      <w:rPr>
        <w:rFonts w:cstheme="minorHAnsi"/>
        <w:lang w:val="fr-FR"/>
      </w:rPr>
      <w:t>Ê</w:t>
    </w:r>
    <w:r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201FAE">
      <w:rPr>
        <w:lang w:val="fr-FR"/>
      </w:rPr>
      <w:t>SANTORO ET LUPERTO c. ITALIE  ET AUTRES REQU</w:t>
    </w:r>
    <w:r w:rsidR="00201FAE" w:rsidRPr="00201FAE">
      <w:rPr>
        <w:sz w:val="24"/>
        <w:lang w:val="fr-FR"/>
      </w:rPr>
      <w:t>ê</w:t>
    </w:r>
    <w:r w:rsidR="00201FAE">
      <w:rPr>
        <w:sz w:val="20"/>
        <w:lang w:val="fr-FR"/>
      </w:rPr>
      <w:t>TES</w:t>
    </w:r>
    <w:r w:rsidRPr="00413286">
      <w:rPr>
        <w:lang w:val="fr-FR"/>
      </w:rPr>
      <w:tab/>
    </w:r>
    <w:r w:rsidR="00201FAE">
      <w:rPr>
        <w:rStyle w:val="Numeropagina"/>
        <w:lang w:val="fr-FR"/>
      </w:rPr>
      <w:fldChar w:fldCharType="begin"/>
    </w:r>
    <w:r w:rsidR="00201FAE">
      <w:rPr>
        <w:rStyle w:val="Numeropagina"/>
        <w:lang w:val="fr-FR"/>
      </w:rPr>
      <w:instrText xml:space="preserve"> PAGE </w:instrText>
    </w:r>
    <w:r w:rsidR="00201FAE">
      <w:rPr>
        <w:rStyle w:val="Numeropagina"/>
        <w:lang w:val="fr-FR"/>
      </w:rPr>
      <w:fldChar w:fldCharType="separate"/>
    </w:r>
    <w:r w:rsidR="00056987">
      <w:rPr>
        <w:rStyle w:val="Numeropagina"/>
        <w:noProof/>
        <w:lang w:val="fr-FR"/>
      </w:rPr>
      <w:t>5</w:t>
    </w:r>
    <w:r w:rsidR="00201FAE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AE" w:rsidRPr="00A45145" w:rsidRDefault="00201FA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45F4C2E" wp14:editId="26FA2CFF">
          <wp:extent cx="2962275" cy="1219200"/>
          <wp:effectExtent l="0" t="0" r="9525" b="0"/>
          <wp:docPr id="10" name="Picture 1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6F" w:rsidRPr="0018636F" w:rsidRDefault="0018636F" w:rsidP="0018636F">
    <w:pPr>
      <w:pStyle w:val="JuHeaderLandscape"/>
      <w:jc w:val="center"/>
      <w:rPr>
        <w:lang w:val="fr-FR"/>
      </w:rPr>
    </w:pPr>
    <w:r>
      <w:rPr>
        <w:lang w:val="fr-FR"/>
      </w:rPr>
      <w:tab/>
    </w:r>
    <w:r w:rsidR="00EB622C">
      <w:rPr>
        <w:lang w:val="fr-FR"/>
      </w:rPr>
      <w:t>DÉCISION SANTORO ET AUTRES</w:t>
    </w:r>
    <w:r w:rsidRPr="0018636F">
      <w:rPr>
        <w:lang w:val="fr-FR"/>
      </w:rPr>
      <w:t xml:space="preserve"> c. ITALIE ET AUTRES REQU</w:t>
    </w:r>
    <w:r w:rsidRPr="0018636F">
      <w:rPr>
        <w:rFonts w:cstheme="minorHAnsi"/>
        <w:lang w:val="fr-FR"/>
      </w:rPr>
      <w:t>Ê</w:t>
    </w:r>
    <w:r w:rsidRPr="0018636F">
      <w:rPr>
        <w:lang w:val="fr-FR"/>
      </w:rPr>
      <w:t>TES</w:t>
    </w:r>
    <w:r w:rsidRPr="0018636F">
      <w:rPr>
        <w:lang w:val="fr-FR"/>
      </w:rPr>
      <w:tab/>
    </w:r>
    <w:r>
      <w:rPr>
        <w:lang w:val="fr-FR"/>
      </w:rPr>
      <w:tab/>
    </w:r>
    <w:r w:rsidRPr="0018636F">
      <w:rPr>
        <w:lang w:val="fr-FR"/>
      </w:rPr>
      <w:t xml:space="preserve"> </w:t>
    </w:r>
    <w:r w:rsidRPr="0018636F">
      <w:rPr>
        <w:rStyle w:val="Numeropagina"/>
        <w:szCs w:val="18"/>
        <w:lang w:val="fr-FR"/>
      </w:rPr>
      <w:fldChar w:fldCharType="begin"/>
    </w:r>
    <w:r w:rsidRPr="0018636F">
      <w:rPr>
        <w:rStyle w:val="Numeropagina"/>
        <w:szCs w:val="18"/>
        <w:lang w:val="fr-FR"/>
      </w:rPr>
      <w:instrText xml:space="preserve"> PAGE </w:instrText>
    </w:r>
    <w:r w:rsidRPr="0018636F">
      <w:rPr>
        <w:rStyle w:val="Numeropagina"/>
        <w:szCs w:val="18"/>
        <w:lang w:val="fr-FR"/>
      </w:rPr>
      <w:fldChar w:fldCharType="separate"/>
    </w:r>
    <w:r w:rsidR="00C03550">
      <w:rPr>
        <w:rStyle w:val="Numeropagina"/>
        <w:noProof/>
        <w:szCs w:val="18"/>
        <w:lang w:val="fr-FR"/>
      </w:rPr>
      <w:t>3</w:t>
    </w:r>
    <w:r w:rsidRPr="0018636F">
      <w:rPr>
        <w:rStyle w:val="Numeropagina"/>
        <w:szCs w:val="18"/>
        <w:lang w:val="fr-FR"/>
      </w:rPr>
      <w:fldChar w:fldCharType="end"/>
    </w:r>
  </w:p>
  <w:p w:rsidR="0018636F" w:rsidRPr="00413286" w:rsidRDefault="0018636F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AF04DB8"/>
    <w:multiLevelType w:val="hybridMultilevel"/>
    <w:tmpl w:val="B1989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1"/>
  </w:docVars>
  <w:rsids>
    <w:rsidRoot w:val="00201FA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56987"/>
    <w:rsid w:val="000602DF"/>
    <w:rsid w:val="00061B05"/>
    <w:rsid w:val="000632D5"/>
    <w:rsid w:val="00063613"/>
    <w:rsid w:val="000644EE"/>
    <w:rsid w:val="000925AD"/>
    <w:rsid w:val="000A24EB"/>
    <w:rsid w:val="000A747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8636F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1FAE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4B2B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1282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452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3F6B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17B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1C0C"/>
    <w:rsid w:val="00793366"/>
    <w:rsid w:val="007A26A8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B19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019C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955B5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3550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622C"/>
    <w:rsid w:val="00EB7BE0"/>
    <w:rsid w:val="00EC315E"/>
    <w:rsid w:val="00ED077C"/>
    <w:rsid w:val="00ED1190"/>
    <w:rsid w:val="00ED6544"/>
    <w:rsid w:val="00ED6F4A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59FC"/>
    <w:rsid w:val="00F56A6F"/>
    <w:rsid w:val="00F5709C"/>
    <w:rsid w:val="00F64EF1"/>
    <w:rsid w:val="00F85BE3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231E-8C51-4661-9B3F-EA99639C3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D7F8D-63EA-4829-A86A-50272BD4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9AE1C-578A-48FC-952D-F3AD46DA4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D9AEB-535B-422C-B0F0-D84177F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2019-06-06T15:01:00Z</dcterms:created>
  <dcterms:modified xsi:type="dcterms:W3CDTF">2019-06-06T15:01:00Z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6162/14</vt:lpwstr>
  </property>
  <property fmtid="{D5CDD505-2E9C-101B-9397-08002B2CF9AE}" pid="4" name="CASEID">
    <vt:lpwstr>967897</vt:lpwstr>
  </property>
  <property fmtid="{D5CDD505-2E9C-101B-9397-08002B2CF9AE}" pid="5" name="ContentTypeId">
    <vt:lpwstr>0x010100558EB02BDB9E204AB350EDD385B68E10</vt:lpwstr>
  </property>
</Properties>
</file>